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308D0BA5" w:rsidR="001A5D01" w:rsidRDefault="001A5D01" w:rsidP="001A5D01">
      <w:pPr>
        <w:pStyle w:val="Header"/>
        <w:tabs>
          <w:tab w:val="right" w:pos="9639"/>
        </w:tabs>
        <w:rPr>
          <w:bCs/>
          <w:i/>
          <w:noProof w:val="0"/>
          <w:sz w:val="24"/>
          <w:szCs w:val="24"/>
        </w:rPr>
      </w:pPr>
      <w:r>
        <w:rPr>
          <w:bCs/>
          <w:noProof w:val="0"/>
          <w:sz w:val="24"/>
          <w:szCs w:val="24"/>
        </w:rPr>
        <w:t>3GPP TSG-RAN WG2 Meeting #10</w:t>
      </w:r>
      <w:r w:rsidR="00FE66F9">
        <w:rPr>
          <w:bCs/>
          <w:noProof w:val="0"/>
          <w:sz w:val="24"/>
          <w:szCs w:val="24"/>
        </w:rPr>
        <w:t>8</w:t>
      </w:r>
      <w:r>
        <w:rPr>
          <w:bCs/>
          <w:noProof w:val="0"/>
          <w:sz w:val="24"/>
          <w:szCs w:val="24"/>
        </w:rPr>
        <w:tab/>
      </w:r>
      <w:r w:rsidR="00E67EBA" w:rsidRPr="00E67EBA">
        <w:rPr>
          <w:bCs/>
          <w:noProof w:val="0"/>
          <w:sz w:val="24"/>
          <w:szCs w:val="24"/>
        </w:rPr>
        <w:t>R2-1915691</w:t>
      </w:r>
    </w:p>
    <w:p w14:paraId="11776FA6" w14:textId="2E048200" w:rsidR="00A209D6" w:rsidRPr="00465587" w:rsidRDefault="00FE66F9" w:rsidP="001A5D01">
      <w:pPr>
        <w:pStyle w:val="Header"/>
        <w:tabs>
          <w:tab w:val="right" w:pos="9639"/>
        </w:tabs>
        <w:rPr>
          <w:rFonts w:eastAsia="SimSun"/>
          <w:bCs/>
          <w:sz w:val="24"/>
          <w:szCs w:val="24"/>
          <w:lang w:eastAsia="zh-CN"/>
        </w:rPr>
      </w:pPr>
      <w:r>
        <w:rPr>
          <w:rFonts w:eastAsia="SimSun"/>
          <w:bCs/>
          <w:sz w:val="24"/>
          <w:szCs w:val="24"/>
          <w:lang w:eastAsia="zh-CN"/>
        </w:rPr>
        <w:t>Reno</w:t>
      </w:r>
      <w:r w:rsidR="001A5D01">
        <w:rPr>
          <w:rFonts w:eastAsia="SimSun"/>
          <w:bCs/>
          <w:sz w:val="24"/>
          <w:szCs w:val="24"/>
          <w:lang w:eastAsia="zh-CN"/>
        </w:rPr>
        <w:t xml:space="preserve">,  </w:t>
      </w:r>
      <w:r>
        <w:rPr>
          <w:rFonts w:eastAsia="SimSun"/>
          <w:bCs/>
          <w:sz w:val="24"/>
          <w:szCs w:val="24"/>
          <w:lang w:eastAsia="zh-CN"/>
        </w:rPr>
        <w:t>USA</w:t>
      </w:r>
      <w:r w:rsidR="001A5D01">
        <w:rPr>
          <w:rFonts w:eastAsia="SimSun"/>
          <w:bCs/>
          <w:sz w:val="24"/>
          <w:szCs w:val="24"/>
          <w:lang w:eastAsia="zh-CN"/>
        </w:rPr>
        <w:t xml:space="preserve">, </w:t>
      </w:r>
      <w:r w:rsidR="00544378">
        <w:rPr>
          <w:rFonts w:eastAsia="SimSun"/>
          <w:bCs/>
          <w:sz w:val="24"/>
          <w:szCs w:val="24"/>
          <w:lang w:eastAsia="zh-CN"/>
        </w:rPr>
        <w:t>1</w:t>
      </w:r>
      <w:r>
        <w:rPr>
          <w:rFonts w:eastAsia="SimSun"/>
          <w:bCs/>
          <w:sz w:val="24"/>
          <w:szCs w:val="24"/>
          <w:lang w:eastAsia="zh-CN"/>
        </w:rPr>
        <w:t>8</w:t>
      </w:r>
      <w:r w:rsidR="001A5D01">
        <w:rPr>
          <w:rFonts w:eastAsia="SimSun"/>
          <w:bCs/>
          <w:sz w:val="24"/>
          <w:szCs w:val="24"/>
          <w:lang w:eastAsia="zh-CN"/>
        </w:rPr>
        <w:t xml:space="preserve"> – </w:t>
      </w:r>
      <w:r>
        <w:rPr>
          <w:rFonts w:eastAsia="SimSun"/>
          <w:bCs/>
          <w:sz w:val="24"/>
          <w:szCs w:val="24"/>
          <w:lang w:eastAsia="zh-CN"/>
        </w:rPr>
        <w:t>22</w:t>
      </w:r>
      <w:r w:rsidR="001A5D01">
        <w:rPr>
          <w:rFonts w:eastAsia="SimSun"/>
          <w:bCs/>
          <w:sz w:val="24"/>
          <w:szCs w:val="24"/>
          <w:lang w:eastAsia="zh-CN"/>
        </w:rPr>
        <w:t xml:space="preserve"> </w:t>
      </w:r>
      <w:r>
        <w:rPr>
          <w:rFonts w:eastAsia="SimSun"/>
          <w:bCs/>
          <w:sz w:val="24"/>
          <w:szCs w:val="24"/>
          <w:lang w:eastAsia="zh-CN"/>
        </w:rPr>
        <w:t>November</w:t>
      </w:r>
      <w:r w:rsidR="001A5D01">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2582DF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1B8F">
        <w:rPr>
          <w:rFonts w:cs="Arial"/>
          <w:b/>
          <w:bCs/>
          <w:sz w:val="24"/>
          <w:lang w:eastAsia="ja-JP"/>
        </w:rPr>
        <w:t>6</w:t>
      </w:r>
      <w:r>
        <w:rPr>
          <w:rFonts w:cs="Arial"/>
          <w:b/>
          <w:bCs/>
          <w:sz w:val="24"/>
          <w:lang w:eastAsia="ja-JP"/>
        </w:rPr>
        <w:t>.</w:t>
      </w:r>
      <w:r w:rsidR="00850467">
        <w:rPr>
          <w:rFonts w:cs="Arial"/>
          <w:b/>
          <w:bCs/>
          <w:sz w:val="24"/>
          <w:lang w:eastAsia="ja-JP"/>
        </w:rPr>
        <w:t>7</w:t>
      </w:r>
      <w:r>
        <w:rPr>
          <w:rFonts w:cs="Arial"/>
          <w:b/>
          <w:bCs/>
          <w:sz w:val="24"/>
          <w:lang w:eastAsia="ja-JP"/>
        </w:rPr>
        <w:t>.</w:t>
      </w:r>
      <w:r w:rsidR="005D4723">
        <w:rPr>
          <w:rFonts w:cs="Arial"/>
          <w:b/>
          <w:bCs/>
          <w:sz w:val="24"/>
          <w:lang w:eastAsia="ja-JP"/>
        </w:rPr>
        <w:t>2.</w:t>
      </w:r>
      <w:r w:rsidR="00544378">
        <w:rPr>
          <w:rFonts w:cs="Arial"/>
          <w:b/>
          <w:bCs/>
          <w:sz w:val="24"/>
          <w:lang w:eastAsia="ja-JP"/>
        </w:rPr>
        <w:t>1</w:t>
      </w:r>
    </w:p>
    <w:p w14:paraId="73188B46" w14:textId="5DBB5F7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E91B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6498">
        <w:rPr>
          <w:rFonts w:ascii="Arial" w:hAnsi="Arial" w:cs="Arial"/>
          <w:b/>
          <w:bCs/>
          <w:sz w:val="24"/>
        </w:rPr>
        <w:t>Remaining issues for accurate reference time delivery</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337F173" w14:textId="77777777" w:rsidR="00A37E91" w:rsidRDefault="00B17F45" w:rsidP="00BA1391">
      <w:r>
        <w:t>During the RAN2#107 meeting, the baseline RRC CR for accurate reference time delivery was agreed based on</w:t>
      </w:r>
      <w:r w:rsidR="00855E5B">
        <w:t xml:space="preserve"> [1]</w:t>
      </w:r>
      <w:r>
        <w:t>, with some small modifications.</w:t>
      </w:r>
      <w:r w:rsidR="00855E5B">
        <w:t xml:space="preserve"> </w:t>
      </w:r>
      <w:r w:rsidR="00A37E91">
        <w:t>In RAN2#107bis, the following was agreed:</w:t>
      </w:r>
    </w:p>
    <w:tbl>
      <w:tblPr>
        <w:tblStyle w:val="TableGrid"/>
        <w:tblW w:w="0" w:type="auto"/>
        <w:tblLook w:val="04A0" w:firstRow="1" w:lastRow="0" w:firstColumn="1" w:lastColumn="0" w:noHBand="0" w:noVBand="1"/>
      </w:tblPr>
      <w:tblGrid>
        <w:gridCol w:w="9631"/>
      </w:tblGrid>
      <w:tr w:rsidR="00A37E91" w14:paraId="17A1B3BC" w14:textId="77777777" w:rsidTr="00A37E91">
        <w:tc>
          <w:tcPr>
            <w:tcW w:w="9631" w:type="dxa"/>
          </w:tcPr>
          <w:p w14:paraId="3178F2B0" w14:textId="77777777" w:rsidR="00A37E91" w:rsidRDefault="00A37E91" w:rsidP="00A37E91">
            <w:pPr>
              <w:pStyle w:val="Agreement"/>
              <w:tabs>
                <w:tab w:val="clear" w:pos="1619"/>
                <w:tab w:val="num" w:pos="1980"/>
              </w:tabs>
              <w:ind w:left="1980"/>
            </w:pPr>
            <w:r>
              <w:t>The uncertainty of reference time info is unspecified, if the uncertainty field is absent.</w:t>
            </w:r>
          </w:p>
          <w:p w14:paraId="0803170B" w14:textId="77777777" w:rsidR="00A37E91" w:rsidRDefault="00A37E91" w:rsidP="00A37E91">
            <w:pPr>
              <w:pStyle w:val="Agreement"/>
              <w:tabs>
                <w:tab w:val="clear" w:pos="1619"/>
                <w:tab w:val="num" w:pos="1980"/>
              </w:tabs>
              <w:ind w:left="1980"/>
            </w:pPr>
            <w:r>
              <w:t>We send an LS: RAN2 asks SA2 to provide information on whether and how the need for reference time information can be determined for any given connected UE</w:t>
            </w:r>
          </w:p>
          <w:p w14:paraId="66459CEA" w14:textId="77777777" w:rsidR="00A37E91" w:rsidRDefault="00A37E91" w:rsidP="00E67EBA">
            <w:pPr>
              <w:pStyle w:val="Agreement"/>
              <w:numPr>
                <w:ilvl w:val="0"/>
                <w:numId w:val="0"/>
              </w:numPr>
              <w:ind w:left="1620"/>
            </w:pPr>
          </w:p>
        </w:tc>
      </w:tr>
    </w:tbl>
    <w:p w14:paraId="6AF4882B" w14:textId="77777777" w:rsidR="00A37E91" w:rsidRDefault="00A37E91" w:rsidP="00BA1391"/>
    <w:p w14:paraId="418E683A" w14:textId="731AEC9F" w:rsidR="002B7C6C" w:rsidRDefault="00855E5B" w:rsidP="00BA1391">
      <w:r>
        <w:t>This paper discusses the remaining issues, which need to be solved for accurate reference time delivery objective.</w:t>
      </w:r>
    </w:p>
    <w:p w14:paraId="631B5129" w14:textId="2C0B3500" w:rsidR="00783A66" w:rsidRPr="00850467" w:rsidRDefault="00D463A7" w:rsidP="00783A66">
      <w:pPr>
        <w:pStyle w:val="Heading1"/>
      </w:pPr>
      <w:r>
        <w:t>2</w:t>
      </w:r>
      <w:r w:rsidR="00783A66" w:rsidRPr="00850467">
        <w:tab/>
      </w:r>
      <w:r w:rsidR="00855E5B">
        <w:t>Uncertainty encoding</w:t>
      </w:r>
    </w:p>
    <w:p w14:paraId="55895D0D" w14:textId="76F9CAAD" w:rsidR="00B02F5C" w:rsidRDefault="00B02F5C" w:rsidP="00855E5B">
      <w:r>
        <w:t>The encoding of reference time information agreed in [1] is the following:</w:t>
      </w:r>
    </w:p>
    <w:tbl>
      <w:tblPr>
        <w:tblStyle w:val="TableGrid"/>
        <w:tblW w:w="0" w:type="auto"/>
        <w:tblLook w:val="04A0" w:firstRow="1" w:lastRow="0" w:firstColumn="1" w:lastColumn="0" w:noHBand="0" w:noVBand="1"/>
      </w:tblPr>
      <w:tblGrid>
        <w:gridCol w:w="9631"/>
      </w:tblGrid>
      <w:tr w:rsidR="00B02F5C" w14:paraId="360435D4" w14:textId="77777777" w:rsidTr="00B02F5C">
        <w:tc>
          <w:tcPr>
            <w:tcW w:w="9631" w:type="dxa"/>
          </w:tcPr>
          <w:p w14:paraId="38205DA5" w14:textId="77777777" w:rsidR="00B02F5C" w:rsidRPr="003A6F3A"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ReferenceTime-r1</w:t>
            </w:r>
            <w:r>
              <w:rPr>
                <w:rFonts w:ascii="Courier New" w:hAnsi="Courier New"/>
                <w:noProof/>
                <w:sz w:val="16"/>
                <w:lang w:eastAsia="zh-CN"/>
              </w:rPr>
              <w:t>6</w:t>
            </w:r>
            <w:r w:rsidRPr="003A6F3A">
              <w:rPr>
                <w:rFonts w:ascii="Courier New" w:hAnsi="Courier New"/>
                <w:noProof/>
                <w:sz w:val="16"/>
                <w:lang w:eastAsia="zh-CN"/>
              </w:rPr>
              <w:t xml:space="preserve"> ::=</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SEQUENCE {</w:t>
            </w:r>
          </w:p>
          <w:p w14:paraId="4CB54D1F" w14:textId="77777777" w:rsidR="00B02F5C" w:rsidRPr="003A6F3A"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ab/>
              <w:t>refDays-r1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(0..72999),</w:t>
            </w:r>
          </w:p>
          <w:p w14:paraId="625C715B" w14:textId="77777777" w:rsidR="00B02F5C" w:rsidRPr="003A6F3A"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ab/>
              <w:t>refSeconds-r1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(0..86399),</w:t>
            </w:r>
          </w:p>
          <w:p w14:paraId="0F759AC3" w14:textId="77777777" w:rsidR="00B02F5C"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ab/>
              <w:t>refMilliSeconds-r1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(0..999),</w:t>
            </w:r>
          </w:p>
          <w:p w14:paraId="2DBED121" w14:textId="77777777" w:rsidR="00B02F5C"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r>
            <w:r w:rsidRPr="003A6F3A">
              <w:rPr>
                <w:rFonts w:ascii="Courier New" w:hAnsi="Courier New"/>
                <w:noProof/>
                <w:sz w:val="16"/>
                <w:lang w:eastAsia="zh-CN"/>
              </w:rPr>
              <w:t>ref</w:t>
            </w:r>
            <w:r>
              <w:rPr>
                <w:rFonts w:ascii="Courier New" w:hAnsi="Courier New"/>
                <w:noProof/>
                <w:sz w:val="16"/>
                <w:lang w:eastAsia="zh-CN"/>
              </w:rPr>
              <w:t>TenNanoSeconds</w:t>
            </w:r>
            <w:r w:rsidRPr="003A6F3A">
              <w:rPr>
                <w:rFonts w:ascii="Courier New" w:hAnsi="Courier New"/>
                <w:noProof/>
                <w:sz w:val="16"/>
                <w:lang w:eastAsia="zh-CN"/>
              </w:rPr>
              <w:t>-r1</w:t>
            </w:r>
            <w:r>
              <w:rPr>
                <w:rFonts w:ascii="Courier New" w:hAnsi="Courier New"/>
                <w:noProof/>
                <w:sz w:val="16"/>
                <w:lang w:eastAsia="zh-CN"/>
              </w:rPr>
              <w:t>6</w:t>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r>
            <w:r w:rsidRPr="003A6F3A">
              <w:rPr>
                <w:rFonts w:ascii="Courier New" w:hAnsi="Courier New"/>
                <w:noProof/>
                <w:sz w:val="16"/>
                <w:lang w:eastAsia="zh-CN"/>
              </w:rPr>
              <w:tab/>
              <w:t>INTEGER (0..999</w:t>
            </w:r>
            <w:r>
              <w:rPr>
                <w:rFonts w:ascii="Courier New" w:hAnsi="Courier New"/>
                <w:noProof/>
                <w:sz w:val="16"/>
                <w:lang w:eastAsia="zh-CN"/>
              </w:rPr>
              <w:t>99</w:t>
            </w:r>
            <w:r w:rsidRPr="003A6F3A">
              <w:rPr>
                <w:rFonts w:ascii="Courier New" w:hAnsi="Courier New"/>
                <w:noProof/>
                <w:sz w:val="16"/>
                <w:lang w:eastAsia="zh-CN"/>
              </w:rPr>
              <w:t>)</w:t>
            </w:r>
          </w:p>
          <w:p w14:paraId="6ADCDC81" w14:textId="25E972F9" w:rsidR="00B02F5C" w:rsidRPr="00B02F5C" w:rsidRDefault="00B02F5C" w:rsidP="00B02F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A6F3A">
              <w:rPr>
                <w:rFonts w:ascii="Courier New" w:hAnsi="Courier New"/>
                <w:noProof/>
                <w:sz w:val="16"/>
                <w:lang w:eastAsia="zh-CN"/>
              </w:rPr>
              <w:t>}</w:t>
            </w:r>
          </w:p>
        </w:tc>
      </w:tr>
    </w:tbl>
    <w:p w14:paraId="67E134F9" w14:textId="77777777" w:rsidR="00B02F5C" w:rsidRDefault="00B02F5C" w:rsidP="00855E5B"/>
    <w:p w14:paraId="6DE83F72" w14:textId="52788BD6" w:rsidR="00FE66F9" w:rsidRDefault="00FE66F9" w:rsidP="00855E5B">
      <w:r>
        <w:t>If the way uncertainty is encoded in LTE Rel-15 is adopted, it would indicate the number</w:t>
      </w:r>
      <w:r w:rsidRPr="00B02F5C">
        <w:t xml:space="preserve"> of unreliable LSBs in refTenNanoSeconds </w:t>
      </w:r>
      <w:r>
        <w:t xml:space="preserve">denoted as an </w:t>
      </w:r>
      <w:r w:rsidRPr="00B02F5C">
        <w:t>INTEGER(0..17)</w:t>
      </w:r>
      <w:r>
        <w:t>. There are concerns that, with this solution, uncertainty would not provide enough granularity, nor the possibility to indicate values such as e.g. 100 ns since uncertainty would take values of 10 ns multiplied by the consecutive powers of 2, i.e. 10 ns, 20 ns, 40 ns, 80 ns, 160 ns, 320 ns and so on, up to 1 ms. Therefore, it has been proposed to encode uncertainty as an integer multiple of a certain value e.g. 10 ns as proposed in [</w:t>
      </w:r>
      <w:r w:rsidR="00E13792">
        <w:t>2</w:t>
      </w:r>
      <w:r>
        <w:t>] or as multiplies of 25/50 ns as proposed in [</w:t>
      </w:r>
      <w:r w:rsidR="00E13792">
        <w:t>3</w:t>
      </w:r>
      <w:r>
        <w:t>]. This solution, however, may lead to a substantial overhead if signalling of uncertainties of up to 1 ms is to be supported. With 10 ns granularity, for example, it would take 17 bits to signal an uncertainty of 1 ms. Since uncertainty quantifies the timing error of the gNB clock w.r.t. primary reference time clock (PRTC) that the gNB uses as a synchronization source, it is unlikely that values larger than few microseconds need to be signalled (e.g. in case a GNSS receiver is used as a sync source for the gNB, the timing error w.r.t. to PRTC is typically under 1 us) unless a synchronization loss is detected or a highly inaccurate synchronization source (e.g. NTP server) is used. Therefore, we propose to encode uncertainty as a multiple of 10 ns, but limit the bit budget to e.g. 10 bits, allowing uncertainties up to 10.23 us to be signalled with 10 ns granularity.</w:t>
      </w:r>
    </w:p>
    <w:p w14:paraId="1BAD53C7" w14:textId="44E4859F" w:rsidR="00FE66F9" w:rsidRDefault="00FE66F9" w:rsidP="00FE66F9">
      <w:pPr>
        <w:rPr>
          <w:b/>
        </w:rPr>
      </w:pPr>
      <w:r>
        <w:rPr>
          <w:b/>
        </w:rPr>
        <w:t>Proposal 1: Encode uncertainty as a multiple of 10 ns with</w:t>
      </w:r>
      <w:r w:rsidRPr="00B40A05">
        <w:rPr>
          <w:b/>
        </w:rPr>
        <w:t xml:space="preserve"> an INTEGER(0..</w:t>
      </w:r>
      <w:r>
        <w:rPr>
          <w:b/>
        </w:rPr>
        <w:t>1023</w:t>
      </w:r>
      <w:r w:rsidRPr="00B40A05">
        <w:rPr>
          <w:b/>
        </w:rPr>
        <w:t>)</w:t>
      </w:r>
      <w:r>
        <w:rPr>
          <w:b/>
        </w:rPr>
        <w:t>.</w:t>
      </w:r>
    </w:p>
    <w:p w14:paraId="6924E2D0" w14:textId="79CDA45C" w:rsidR="00FE66F9" w:rsidRPr="00FE66F9" w:rsidRDefault="00FE66F9" w:rsidP="00FE66F9">
      <w:r w:rsidRPr="00FE66F9">
        <w:t xml:space="preserve">To </w:t>
      </w:r>
      <w:r>
        <w:t xml:space="preserve">indicate uncertainty larger than 10 ns × 1023 = 10 us, as in case of synchronization loss at </w:t>
      </w:r>
      <w:r w:rsidR="00B73B3C">
        <w:t xml:space="preserve">the </w:t>
      </w:r>
      <w:r>
        <w:t>gNB or a highly inaccurate synchronization source</w:t>
      </w:r>
      <w:r w:rsidR="00B73B3C">
        <w:t xml:space="preserve"> used by the gNB</w:t>
      </w:r>
      <w:r>
        <w:t>, the maximum value of the uncertainty (i.e. 1023) is used.</w:t>
      </w:r>
      <w:r w:rsidRPr="00FE66F9">
        <w:t xml:space="preserve"> </w:t>
      </w:r>
    </w:p>
    <w:p w14:paraId="7AC10AD3" w14:textId="606A0E67" w:rsidR="00FE66F9" w:rsidRPr="008500DD" w:rsidRDefault="00FE66F9" w:rsidP="00FE66F9">
      <w:pPr>
        <w:rPr>
          <w:b/>
        </w:rPr>
      </w:pPr>
      <w:r>
        <w:rPr>
          <w:b/>
        </w:rPr>
        <w:lastRenderedPageBreak/>
        <w:t>Proposal 2: The maximum value of the uncertainty (i.e. 1023) indicates that uncertainty is equal or larger than 1023 × 10 ns.</w:t>
      </w:r>
    </w:p>
    <w:p w14:paraId="450454A6" w14:textId="07347611" w:rsidR="00B73B3C" w:rsidRPr="00850467" w:rsidRDefault="00B73B3C" w:rsidP="00B73B3C">
      <w:pPr>
        <w:pStyle w:val="Heading1"/>
      </w:pPr>
      <w:r>
        <w:t>3</w:t>
      </w:r>
      <w:r w:rsidRPr="00850467">
        <w:tab/>
      </w:r>
      <w:bookmarkStart w:id="0" w:name="_Hlk19286050"/>
      <w:r>
        <w:t>Propagation delay compensation</w:t>
      </w:r>
      <w:bookmarkEnd w:id="0"/>
    </w:p>
    <w:p w14:paraId="52302E7C" w14:textId="19B1A6C5" w:rsidR="00B73B3C" w:rsidRDefault="00B73B3C" w:rsidP="00B73B3C">
      <w:r w:rsidRPr="00760DBE">
        <w:t>RAN2</w:t>
      </w:r>
      <w:r>
        <w:t xml:space="preserve"> sent an LS to RAN1 asking the following questions with respect to propagation delay compensation for synchronization accuracy [</w:t>
      </w:r>
      <w:r w:rsidR="00E13792">
        <w:t>4</w:t>
      </w:r>
      <w:r>
        <w:t>]:</w:t>
      </w:r>
    </w:p>
    <w:tbl>
      <w:tblPr>
        <w:tblStyle w:val="TableGrid"/>
        <w:tblW w:w="0" w:type="auto"/>
        <w:tblLook w:val="04A0" w:firstRow="1" w:lastRow="0" w:firstColumn="1" w:lastColumn="0" w:noHBand="0" w:noVBand="1"/>
      </w:tblPr>
      <w:tblGrid>
        <w:gridCol w:w="9631"/>
      </w:tblGrid>
      <w:tr w:rsidR="00B73B3C" w14:paraId="64DCDFF1" w14:textId="77777777" w:rsidTr="00A37E91">
        <w:tc>
          <w:tcPr>
            <w:tcW w:w="9631" w:type="dxa"/>
          </w:tcPr>
          <w:p w14:paraId="1D741E25" w14:textId="77777777" w:rsidR="00B73B3C" w:rsidRPr="00760DBE" w:rsidRDefault="00B73B3C" w:rsidP="00A37E91">
            <w:pPr>
              <w:tabs>
                <w:tab w:val="center" w:pos="4153"/>
                <w:tab w:val="right" w:pos="8306"/>
              </w:tabs>
              <w:spacing w:after="120"/>
              <w:rPr>
                <w:rFonts w:ascii="Arial" w:hAnsi="Arial" w:cs="Arial"/>
              </w:rPr>
            </w:pPr>
            <w:r w:rsidRPr="00760DBE">
              <w:rPr>
                <w:rFonts w:ascii="Arial" w:hAnsi="Arial" w:cs="Arial"/>
              </w:rPr>
              <w:t>Q1. What method did RAN1 assume for propagation delay compensation in their synchronization accuracy analysis in IIoT study (as per results captured in TR 38.825), e.g. was it Timing Advance based or based on another method?</w:t>
            </w:r>
          </w:p>
          <w:p w14:paraId="0AB535C8" w14:textId="77777777" w:rsidR="00B73B3C" w:rsidRPr="00760DBE" w:rsidRDefault="00B73B3C" w:rsidP="00A37E91">
            <w:pPr>
              <w:tabs>
                <w:tab w:val="center" w:pos="4153"/>
                <w:tab w:val="right" w:pos="8306"/>
              </w:tabs>
              <w:spacing w:after="120"/>
              <w:rPr>
                <w:rFonts w:ascii="Arial" w:hAnsi="Arial" w:cs="Arial"/>
              </w:rPr>
            </w:pPr>
            <w:r w:rsidRPr="00760DBE">
              <w:rPr>
                <w:rFonts w:ascii="Arial" w:hAnsi="Arial" w:cs="Arial"/>
              </w:rPr>
              <w:t>Q2. Does RAN1 see the need for specifying any propagation delay compensation requirements or enhancements in order to meet the synchronization requirements as studied in NR Industrial IoT SI?</w:t>
            </w:r>
          </w:p>
        </w:tc>
      </w:tr>
    </w:tbl>
    <w:p w14:paraId="088819CA" w14:textId="77777777" w:rsidR="00B73B3C" w:rsidRDefault="00B73B3C" w:rsidP="00B73B3C"/>
    <w:p w14:paraId="685209CF" w14:textId="6CA7F9DF" w:rsidR="00B73B3C" w:rsidRDefault="00B73B3C" w:rsidP="00B73B3C">
      <w:r>
        <w:t>From the reply RAN1 provides in [</w:t>
      </w:r>
      <w:r w:rsidR="00E13792">
        <w:t>5</w:t>
      </w:r>
      <w:r>
        <w:t>], we learn that:</w:t>
      </w:r>
    </w:p>
    <w:p w14:paraId="2E4F4994" w14:textId="77777777" w:rsidR="00B73B3C" w:rsidRDefault="00B73B3C" w:rsidP="00B73B3C">
      <w:pPr>
        <w:pStyle w:val="ListParagraph"/>
        <w:numPr>
          <w:ilvl w:val="0"/>
          <w:numId w:val="25"/>
        </w:numPr>
      </w:pPr>
      <w:r>
        <w:t>Timing Advance methods were used within RAN1 synchronization accuracy requirement analysis.</w:t>
      </w:r>
    </w:p>
    <w:p w14:paraId="32C68483" w14:textId="77777777" w:rsidR="00B73B3C" w:rsidRDefault="00B73B3C" w:rsidP="00B73B3C">
      <w:pPr>
        <w:pStyle w:val="ListParagraph"/>
        <w:numPr>
          <w:ilvl w:val="0"/>
          <w:numId w:val="25"/>
        </w:numPr>
      </w:pPr>
      <w:r>
        <w:t xml:space="preserve">RAN1 does not see the need for additional enhancements for propagation delay compensation (e.g. more granular TA commands), since the synchronization accuracy requirements can be already met with existing methods as can be seen in </w:t>
      </w:r>
      <w:r w:rsidRPr="004A26B8">
        <w:t>Sec. 6.3.5 of TR 38.825</w:t>
      </w:r>
      <w:r>
        <w:t>.</w:t>
      </w:r>
    </w:p>
    <w:p w14:paraId="04D675F4" w14:textId="77777777" w:rsidR="00B73B3C" w:rsidRDefault="00B73B3C" w:rsidP="00B73B3C">
      <w:pPr>
        <w:pStyle w:val="ListParagraph"/>
        <w:numPr>
          <w:ilvl w:val="0"/>
          <w:numId w:val="25"/>
        </w:numPr>
      </w:pPr>
      <w:r>
        <w:t xml:space="preserve">RAN1 is further discussing when the propagation delay needs to be compensated and whether this will require specifying some signalling </w:t>
      </w:r>
      <w:r>
        <w:rPr>
          <w:rFonts w:ascii="Wingdings" w:eastAsia="Wingdings" w:hAnsi="Wingdings" w:cs="Wingdings"/>
        </w:rPr>
        <w:t></w:t>
      </w:r>
      <w:r>
        <w:t xml:space="preserve"> this might have RAN2 impact, but is pending further RAN1 decision.</w:t>
      </w:r>
    </w:p>
    <w:p w14:paraId="3277B562" w14:textId="77777777" w:rsidR="00B73B3C" w:rsidRDefault="00B73B3C" w:rsidP="00B73B3C">
      <w:pPr>
        <w:pStyle w:val="ListParagraph"/>
        <w:numPr>
          <w:ilvl w:val="0"/>
          <w:numId w:val="25"/>
        </w:numPr>
      </w:pPr>
      <w:r>
        <w:t xml:space="preserve">It would be useful to have performance requirements and test cases defined </w:t>
      </w:r>
      <w:r>
        <w:rPr>
          <w:rFonts w:ascii="Wingdings" w:eastAsia="Wingdings" w:hAnsi="Wingdings" w:cs="Wingdings"/>
        </w:rPr>
        <w:t></w:t>
      </w:r>
      <w:r>
        <w:t xml:space="preserve"> this issue is for discussion in RAN4 and RAN5, out of scope of RAN2.</w:t>
      </w:r>
    </w:p>
    <w:p w14:paraId="3AA7BE42" w14:textId="76B9C4AD" w:rsidR="00B73B3C" w:rsidRDefault="00B73B3C" w:rsidP="00B73B3C">
      <w:r>
        <w:t>From the subsequent reply RAN1 provides in [</w:t>
      </w:r>
      <w:r w:rsidR="00E13792">
        <w:t>6</w:t>
      </w:r>
      <w:r>
        <w:t>], we learn that:</w:t>
      </w:r>
    </w:p>
    <w:p w14:paraId="18AC2E81" w14:textId="2DE65793" w:rsidR="00B73B3C" w:rsidRDefault="00B73B3C" w:rsidP="00B73B3C">
      <w:pPr>
        <w:pStyle w:val="ListParagraph"/>
        <w:numPr>
          <w:ilvl w:val="0"/>
          <w:numId w:val="25"/>
        </w:numPr>
      </w:pPr>
      <w:r>
        <w:t>The propagation delay between gNB and UE is assumed to be approximately half of the indicated timing advance (i.e. N</w:t>
      </w:r>
      <w:r w:rsidRPr="00B73B3C">
        <w:rPr>
          <w:vertAlign w:val="subscript"/>
        </w:rPr>
        <w:t>TA</w:t>
      </w:r>
      <w:r>
        <w:t>×T</w:t>
      </w:r>
      <w:r w:rsidRPr="00B73B3C">
        <w:rPr>
          <w:vertAlign w:val="subscript"/>
        </w:rPr>
        <w:t>c</w:t>
      </w:r>
      <w:r>
        <w:t>/2, and not to include N</w:t>
      </w:r>
      <w:r w:rsidRPr="00B73B3C">
        <w:rPr>
          <w:vertAlign w:val="subscript"/>
        </w:rPr>
        <w:t>TA_offset</w:t>
      </w:r>
      <w:r>
        <w:t xml:space="preserve">) for both TDD and FDD.  </w:t>
      </w:r>
    </w:p>
    <w:p w14:paraId="2080C070" w14:textId="78BA7366" w:rsidR="00B73B3C" w:rsidRDefault="00B73B3C" w:rsidP="00B73B3C">
      <w:pPr>
        <w:pStyle w:val="ListParagraph"/>
        <w:numPr>
          <w:ilvl w:val="0"/>
          <w:numId w:val="25"/>
        </w:numPr>
      </w:pPr>
      <w:r>
        <w:t xml:space="preserve">RAN1 discussed when and how to apply propagation delay compensation without a conclusion in RAN1 in Rel-16. </w:t>
      </w:r>
    </w:p>
    <w:p w14:paraId="06635DA9" w14:textId="23E9F775" w:rsidR="00B73B3C" w:rsidRDefault="00B73B3C" w:rsidP="00B73B3C">
      <w:pPr>
        <w:pStyle w:val="ListParagraph"/>
        <w:numPr>
          <w:ilvl w:val="0"/>
          <w:numId w:val="25"/>
        </w:numPr>
      </w:pPr>
      <w:r>
        <w:t xml:space="preserve">RAN1 is not intending to capture any time/clock synchronization related aspects in the physical layer (i.e. 38.200 series) specifications, as no physical layer impact has been identified. </w:t>
      </w:r>
    </w:p>
    <w:p w14:paraId="20FED60B" w14:textId="61C71074" w:rsidR="00B73B3C" w:rsidRDefault="00B73B3C" w:rsidP="00B73B3C">
      <w:pPr>
        <w:pStyle w:val="ListParagraph"/>
        <w:numPr>
          <w:ilvl w:val="0"/>
          <w:numId w:val="25"/>
        </w:numPr>
      </w:pPr>
      <w:r>
        <w:t>No further actions for RAN1 have been identified related to time/clock synchronization in Rel-16.</w:t>
      </w:r>
    </w:p>
    <w:p w14:paraId="35763CBB" w14:textId="1FD02DBB" w:rsidR="00B73B3C" w:rsidRDefault="00B73B3C" w:rsidP="00B73B3C">
      <w:r>
        <w:t>Based on the above we propose the following solution to be adopted in Rel-16:</w:t>
      </w:r>
    </w:p>
    <w:p w14:paraId="4420EB46" w14:textId="28CBF0C9" w:rsidR="00B73B3C" w:rsidRPr="00B73B3C" w:rsidRDefault="00B73B3C" w:rsidP="00B73B3C">
      <w:pPr>
        <w:rPr>
          <w:b/>
        </w:rPr>
      </w:pPr>
      <w:r w:rsidRPr="00B73B3C">
        <w:rPr>
          <w:b/>
        </w:rPr>
        <w:t xml:space="preserve">Proposal 3: </w:t>
      </w:r>
      <w:r>
        <w:rPr>
          <w:b/>
        </w:rPr>
        <w:t xml:space="preserve">UEs </w:t>
      </w:r>
      <w:r w:rsidR="00E67EBA">
        <w:rPr>
          <w:b/>
        </w:rPr>
        <w:t>should</w:t>
      </w:r>
      <w:r>
        <w:rPr>
          <w:b/>
        </w:rPr>
        <w:t xml:space="preserve"> use </w:t>
      </w:r>
      <w:r w:rsidRPr="00B73B3C">
        <w:rPr>
          <w:b/>
        </w:rPr>
        <w:t>N</w:t>
      </w:r>
      <w:r w:rsidRPr="00B73B3C">
        <w:rPr>
          <w:b/>
          <w:vertAlign w:val="subscript"/>
        </w:rPr>
        <w:t>TA</w:t>
      </w:r>
      <w:r w:rsidRPr="00B73B3C">
        <w:rPr>
          <w:b/>
        </w:rPr>
        <w:t>×T</w:t>
      </w:r>
      <w:r w:rsidRPr="00B73B3C">
        <w:rPr>
          <w:b/>
          <w:vertAlign w:val="subscript"/>
        </w:rPr>
        <w:t>c</w:t>
      </w:r>
      <w:r w:rsidRPr="00B73B3C">
        <w:rPr>
          <w:b/>
        </w:rPr>
        <w:t xml:space="preserve">/2 </w:t>
      </w:r>
      <w:r w:rsidR="00E67EBA">
        <w:rPr>
          <w:b/>
        </w:rPr>
        <w:t>when performing propagation delay compensation</w:t>
      </w:r>
      <w:r w:rsidRPr="00B73B3C">
        <w:rPr>
          <w:b/>
        </w:rPr>
        <w:t>.</w:t>
      </w:r>
    </w:p>
    <w:p w14:paraId="024B38B6" w14:textId="17605236" w:rsidR="00E67EBA" w:rsidRPr="00E67EBA" w:rsidRDefault="00E67EBA" w:rsidP="00B73B3C">
      <w:r w:rsidRPr="00E67EBA">
        <w:t xml:space="preserve">RAN1 indicated in </w:t>
      </w:r>
      <w:r>
        <w:t xml:space="preserve">their reply LS that propagation delay compensation should only be applied by the UE when the distance from the gNB is higher than ~200m. </w:t>
      </w:r>
      <w:r w:rsidR="009461BA">
        <w:t>In case propagation delay compensation is applied by the UE when being closer than 200m, the synchronization accuracy actually deteriorates. We then think it is important to tell the UE where the propagation delay compensation needs to be applied with direct signalling from gNB.</w:t>
      </w:r>
    </w:p>
    <w:p w14:paraId="39F85536" w14:textId="6D30F763" w:rsidR="0086455E" w:rsidRPr="00B73B3C" w:rsidRDefault="00B73B3C" w:rsidP="00B73B3C">
      <w:pPr>
        <w:rPr>
          <w:b/>
        </w:rPr>
      </w:pPr>
      <w:r w:rsidRPr="00B73B3C">
        <w:rPr>
          <w:b/>
        </w:rPr>
        <w:t>Proposal 4:</w:t>
      </w:r>
      <w:r>
        <w:rPr>
          <w:b/>
        </w:rPr>
        <w:t xml:space="preserve"> </w:t>
      </w:r>
      <w:r w:rsidR="009461BA">
        <w:rPr>
          <w:b/>
        </w:rPr>
        <w:t xml:space="preserve">UE should only apply propagation delay compensation for reference time information when instructed by the </w:t>
      </w:r>
      <w:r w:rsidRPr="00B73B3C">
        <w:rPr>
          <w:b/>
        </w:rPr>
        <w:t xml:space="preserve">gNB </w:t>
      </w:r>
      <w:r w:rsidR="009461BA">
        <w:rPr>
          <w:b/>
        </w:rPr>
        <w:t>with explicit signalling</w:t>
      </w:r>
      <w:r w:rsidRPr="00B73B3C">
        <w:rPr>
          <w:b/>
        </w:rPr>
        <w:t>.</w:t>
      </w:r>
    </w:p>
    <w:p w14:paraId="5B8B7D2A" w14:textId="11FE721D" w:rsidR="00B73B3C" w:rsidRDefault="00B73B3C" w:rsidP="00B73B3C">
      <w:r w:rsidRPr="00B73B3C">
        <w:t>With this solution</w:t>
      </w:r>
      <w:r>
        <w:t>, Rel-16 will support the following scenarios:</w:t>
      </w:r>
    </w:p>
    <w:p w14:paraId="35E34C86" w14:textId="60124EE8" w:rsidR="00B73B3C" w:rsidRDefault="00B73B3C" w:rsidP="00B73B3C">
      <w:pPr>
        <w:pStyle w:val="ListParagraph"/>
        <w:numPr>
          <w:ilvl w:val="0"/>
          <w:numId w:val="28"/>
        </w:numPr>
      </w:pPr>
      <w:r>
        <w:t xml:space="preserve">small-cell (e.g. factory floor) scenarios (without propagation delay compensation) </w:t>
      </w:r>
    </w:p>
    <w:p w14:paraId="20845312" w14:textId="60AEB822" w:rsidR="00B73B3C" w:rsidRPr="00B73B3C" w:rsidRDefault="00B73B3C" w:rsidP="00B73B3C">
      <w:pPr>
        <w:pStyle w:val="ListParagraph"/>
        <w:numPr>
          <w:ilvl w:val="0"/>
          <w:numId w:val="28"/>
        </w:numPr>
      </w:pPr>
      <w:r>
        <w:t>static macro-cell scenarios (e.g. electrical grid) with stable and known propagation delay (with implementation-specific propagation delay compensation at UE)</w:t>
      </w:r>
    </w:p>
    <w:p w14:paraId="5F04037A" w14:textId="11652269" w:rsidR="00B73B3C" w:rsidRPr="00B73B3C" w:rsidRDefault="00B73B3C" w:rsidP="00B73B3C">
      <w:r w:rsidRPr="00B73B3C">
        <w:t xml:space="preserve">Support of other scenarios is left for Rel-17, which is expected to introduce new tighter requirements on </w:t>
      </w:r>
      <w:r>
        <w:t xml:space="preserve">the </w:t>
      </w:r>
      <w:r w:rsidRPr="00B73B3C">
        <w:t xml:space="preserve">maximum timing error over Uu (to support arbitrary TSN GM placement) further emphasizing </w:t>
      </w:r>
      <w:r>
        <w:t xml:space="preserve">the need </w:t>
      </w:r>
      <w:r w:rsidRPr="00B73B3C">
        <w:t>for more sophisticated solutions</w:t>
      </w:r>
      <w:r>
        <w:t xml:space="preserve"> and clarifying the expected performance of those solutions</w:t>
      </w:r>
      <w:r w:rsidRPr="00B73B3C">
        <w:t>.</w:t>
      </w:r>
    </w:p>
    <w:p w14:paraId="67EFEF6D" w14:textId="77777777" w:rsidR="00FE66F9" w:rsidRDefault="00FE66F9" w:rsidP="00855E5B"/>
    <w:p w14:paraId="6516E320" w14:textId="04E37B5B" w:rsidR="00855E5B" w:rsidRPr="00850467" w:rsidRDefault="00B73B3C" w:rsidP="00855E5B">
      <w:pPr>
        <w:pStyle w:val="Heading1"/>
      </w:pPr>
      <w:r>
        <w:lastRenderedPageBreak/>
        <w:t>4</w:t>
      </w:r>
      <w:r w:rsidR="00855E5B" w:rsidRPr="00850467">
        <w:tab/>
      </w:r>
      <w:r w:rsidR="00595F42">
        <w:t>How is the need for accurate reference time delivery determined</w:t>
      </w:r>
    </w:p>
    <w:p w14:paraId="217D2C8D" w14:textId="77777777" w:rsidR="004D14A1" w:rsidRDefault="004D14A1" w:rsidP="004D14A1">
      <w:r>
        <w:t>For UEs in Inactive and Idle modes, on demand SI delivery can be requested and similar mechanism is currently being discussed for UEs in RRC Connected mode. It is not yet clear however, what the capabilities of the OSI for RRC Connected UEs will be. For example, will the SIB always be delivered using broadcast signalling or will unicast delivery be allowed. SIB9 is also specific in such a way that in case a UE requires it for synchronization information determination, it needs to be provided to it periodically for the duration of the service. While we can wait for OSI discussion to conclude before making final decision for reference time information, we think that it is important to agree on the following:</w:t>
      </w:r>
    </w:p>
    <w:p w14:paraId="74D16E30" w14:textId="5E3345EB" w:rsidR="004D14A1" w:rsidRDefault="004D14A1" w:rsidP="004D14A1">
      <w:r>
        <w:rPr>
          <w:b/>
        </w:rPr>
        <w:t xml:space="preserve">Proposal 5: </w:t>
      </w:r>
      <w:r w:rsidRPr="00BF4936">
        <w:rPr>
          <w:b/>
        </w:rPr>
        <w:t>UEs in Inactive and Idle modes</w:t>
      </w:r>
      <w:r>
        <w:rPr>
          <w:b/>
        </w:rPr>
        <w:t xml:space="preserve"> may use OSI to request SIB9. Additional mechanism may be needed for UEs in RRC Connected mode to request reference time information delivery from the network.</w:t>
      </w:r>
    </w:p>
    <w:p w14:paraId="74CC9F14" w14:textId="6869766F" w:rsidR="00595F42" w:rsidRDefault="004D14A1" w:rsidP="00595F42">
      <w:r>
        <w:t xml:space="preserve">The second part of the proposal is related to the LS RAN2 </w:t>
      </w:r>
      <w:r w:rsidR="00595F42">
        <w:t>sen</w:t>
      </w:r>
      <w:r>
        <w:t>t</w:t>
      </w:r>
      <w:r w:rsidR="00595F42">
        <w:t xml:space="preserve"> to SA2 in [</w:t>
      </w:r>
      <w:r w:rsidR="00E13792">
        <w:t>7</w:t>
      </w:r>
      <w:r w:rsidR="00595F42">
        <w:t>] to request information on “</w:t>
      </w:r>
      <w:r w:rsidR="00595F42" w:rsidRPr="00595F42">
        <w:rPr>
          <w:i/>
        </w:rPr>
        <w:t>whether and how the need for reference timing information can be determined for any given connected UE in Rel-16</w:t>
      </w:r>
      <w:r w:rsidR="00595F42">
        <w:t>”.</w:t>
      </w:r>
    </w:p>
    <w:p w14:paraId="62CA752D" w14:textId="0256C6CA" w:rsidR="005D04B5" w:rsidRDefault="001F789B" w:rsidP="00261D74">
      <w:r w:rsidRPr="001F789B">
        <w:t xml:space="preserve">Such mechanism is required </w:t>
      </w:r>
      <w:r>
        <w:t>t</w:t>
      </w:r>
      <w:r w:rsidR="00595F42">
        <w:t>o avoid resource-wasteful delivery of accurate reference timing to UEs that make no use of it</w:t>
      </w:r>
      <w:r>
        <w:t xml:space="preserve">. </w:t>
      </w:r>
      <w:r w:rsidR="005D04B5">
        <w:t xml:space="preserve">When </w:t>
      </w:r>
      <w:r w:rsidR="00A05ECC">
        <w:t>UE’s</w:t>
      </w:r>
      <w:r w:rsidR="005D04B5">
        <w:t xml:space="preserve"> need for accurate reference timing is coupled with a service (e.g. TSN/TSC) that </w:t>
      </w:r>
      <w:r w:rsidR="00A05ECC">
        <w:t xml:space="preserve">it </w:t>
      </w:r>
      <w:r w:rsidR="005D04B5">
        <w:t>receives from 5GS, the need can be deduced by the CN. However, there could be cases where UE’s need for the accurate clock information is not coupled with any other service provided by the 5GS</w:t>
      </w:r>
      <w:r w:rsidR="0086455E">
        <w:t xml:space="preserve"> (e.g. a non-TSC UE attached to a device that requires accurate clock for its own purpose)</w:t>
      </w:r>
      <w:r w:rsidR="005D04B5">
        <w:t>.</w:t>
      </w:r>
      <w:r w:rsidR="60479012">
        <w:t xml:space="preserve"> </w:t>
      </w:r>
      <w:r w:rsidR="005D04B5">
        <w:t xml:space="preserve">To support such cases, there should be a possibility for UE to send a request for accurate reference time delivery. </w:t>
      </w:r>
    </w:p>
    <w:p w14:paraId="6D4DA22D" w14:textId="66F33E6B" w:rsidR="00BF4936" w:rsidRPr="00BF4936" w:rsidRDefault="001F789B" w:rsidP="00261D74">
      <w:pPr>
        <w:rPr>
          <w:b/>
        </w:rPr>
      </w:pPr>
      <w:r>
        <w:rPr>
          <w:b/>
        </w:rPr>
        <w:t xml:space="preserve">Proposal </w:t>
      </w:r>
      <w:r w:rsidR="004D14A1">
        <w:rPr>
          <w:b/>
        </w:rPr>
        <w:t>6</w:t>
      </w:r>
      <w:r w:rsidR="00BF4936" w:rsidRPr="00BF4936">
        <w:rPr>
          <w:b/>
        </w:rPr>
        <w:t xml:space="preserve">: </w:t>
      </w:r>
      <w:r w:rsidR="005D04B5">
        <w:rPr>
          <w:b/>
        </w:rPr>
        <w:t xml:space="preserve">There should </w:t>
      </w:r>
      <w:r w:rsidR="00731D48">
        <w:rPr>
          <w:b/>
        </w:rPr>
        <w:t xml:space="preserve">be a </w:t>
      </w:r>
      <w:r w:rsidR="005D04B5">
        <w:rPr>
          <w:b/>
        </w:rPr>
        <w:t>mechanism</w:t>
      </w:r>
      <w:r w:rsidR="00261D74" w:rsidRPr="00BF4936">
        <w:rPr>
          <w:b/>
        </w:rPr>
        <w:t xml:space="preserve"> </w:t>
      </w:r>
      <w:r w:rsidR="005D04B5">
        <w:rPr>
          <w:b/>
        </w:rPr>
        <w:t xml:space="preserve">for UE to </w:t>
      </w:r>
      <w:r w:rsidR="00BF4936" w:rsidRPr="00BF4936">
        <w:rPr>
          <w:b/>
        </w:rPr>
        <w:t xml:space="preserve">explicitly </w:t>
      </w:r>
      <w:r w:rsidR="00261D74" w:rsidRPr="00BF4936">
        <w:rPr>
          <w:b/>
        </w:rPr>
        <w:t xml:space="preserve">request the reference time </w:t>
      </w:r>
      <w:r w:rsidR="005D04B5">
        <w:rPr>
          <w:b/>
        </w:rPr>
        <w:t>delivery</w:t>
      </w:r>
      <w:r w:rsidR="00261D74" w:rsidRPr="00BF4936">
        <w:rPr>
          <w:b/>
        </w:rPr>
        <w:t xml:space="preserve"> from </w:t>
      </w:r>
      <w:r w:rsidR="005D04B5">
        <w:rPr>
          <w:b/>
        </w:rPr>
        <w:t>5GS</w:t>
      </w:r>
      <w:r w:rsidR="00261D74" w:rsidRPr="00BF4936">
        <w:rPr>
          <w:b/>
        </w:rPr>
        <w:t xml:space="preserve">. </w:t>
      </w:r>
    </w:p>
    <w:p w14:paraId="1B706196" w14:textId="44301788" w:rsidR="00C776B0" w:rsidRDefault="004D14A1" w:rsidP="00C776B0">
      <w:pPr>
        <w:rPr>
          <w:b/>
        </w:rPr>
      </w:pPr>
      <w:r>
        <w:t>Such mechanism could work either on NAS or AS layer, so we can wait with the final decision on whether RRC signalling based is required or whether this can be supported in NAS until SA2 provides the reply to the LS RAN2 sent previously.</w:t>
      </w:r>
    </w:p>
    <w:p w14:paraId="766D6D29" w14:textId="16D02FB3" w:rsidR="00A209D6" w:rsidRPr="006E13D1" w:rsidRDefault="00855E5B" w:rsidP="00A209D6">
      <w:pPr>
        <w:pStyle w:val="Heading1"/>
      </w:pPr>
      <w:r>
        <w:t>5</w:t>
      </w:r>
      <w:r w:rsidR="00A209D6" w:rsidRPr="006E13D1">
        <w:tab/>
      </w:r>
      <w:r w:rsidR="003D6243">
        <w:t>Summary</w:t>
      </w:r>
    </w:p>
    <w:p w14:paraId="2F69E688" w14:textId="4379B6AC" w:rsidR="00856BA4" w:rsidRDefault="001F0BAA" w:rsidP="00BE0C24">
      <w:r>
        <w:t>Th</w:t>
      </w:r>
      <w:r w:rsidR="00535452">
        <w:t>is contribution elaborated on remaining issues for accurate reference time delivery objective. The following is proposed based on the discussion above:</w:t>
      </w:r>
    </w:p>
    <w:p w14:paraId="68735D44" w14:textId="77777777" w:rsidR="004D14A1" w:rsidRDefault="004D14A1" w:rsidP="004D14A1">
      <w:pPr>
        <w:rPr>
          <w:b/>
        </w:rPr>
      </w:pPr>
      <w:r>
        <w:rPr>
          <w:b/>
        </w:rPr>
        <w:t>Proposal 1: Encode uncertainty as a multiple of 10 ns with</w:t>
      </w:r>
      <w:r w:rsidRPr="00B40A05">
        <w:rPr>
          <w:b/>
        </w:rPr>
        <w:t xml:space="preserve"> an INTEGER(0..</w:t>
      </w:r>
      <w:r>
        <w:rPr>
          <w:b/>
        </w:rPr>
        <w:t>1023</w:t>
      </w:r>
      <w:r w:rsidRPr="00B40A05">
        <w:rPr>
          <w:b/>
        </w:rPr>
        <w:t>)</w:t>
      </w:r>
      <w:r>
        <w:rPr>
          <w:b/>
        </w:rPr>
        <w:t>.</w:t>
      </w:r>
    </w:p>
    <w:p w14:paraId="2CCDD617" w14:textId="77777777" w:rsidR="004D14A1" w:rsidRPr="008500DD" w:rsidRDefault="004D14A1" w:rsidP="004D14A1">
      <w:pPr>
        <w:rPr>
          <w:b/>
        </w:rPr>
      </w:pPr>
      <w:r>
        <w:rPr>
          <w:b/>
        </w:rPr>
        <w:t>Proposal 2: The maximum value of the uncertainty (i.e. 1023) indicates that uncertainty is equal or larger than 1023 × 10 ns.</w:t>
      </w:r>
    </w:p>
    <w:p w14:paraId="6F9B08C5" w14:textId="77777777" w:rsidR="004D14A1" w:rsidRDefault="004D14A1" w:rsidP="004D14A1">
      <w:r w:rsidRPr="00B73B3C">
        <w:rPr>
          <w:b/>
        </w:rPr>
        <w:t xml:space="preserve">Proposal 3: </w:t>
      </w:r>
      <w:r>
        <w:rPr>
          <w:b/>
        </w:rPr>
        <w:t xml:space="preserve">UEs should use </w:t>
      </w:r>
      <w:r w:rsidRPr="00B73B3C">
        <w:rPr>
          <w:b/>
        </w:rPr>
        <w:t>N</w:t>
      </w:r>
      <w:r w:rsidRPr="00B73B3C">
        <w:rPr>
          <w:b/>
          <w:vertAlign w:val="subscript"/>
        </w:rPr>
        <w:t>TA</w:t>
      </w:r>
      <w:r w:rsidRPr="00B73B3C">
        <w:rPr>
          <w:b/>
        </w:rPr>
        <w:t>×T</w:t>
      </w:r>
      <w:r w:rsidRPr="00B73B3C">
        <w:rPr>
          <w:b/>
          <w:vertAlign w:val="subscript"/>
        </w:rPr>
        <w:t>c</w:t>
      </w:r>
      <w:r w:rsidRPr="00B73B3C">
        <w:rPr>
          <w:b/>
        </w:rPr>
        <w:t xml:space="preserve">/2 </w:t>
      </w:r>
      <w:r>
        <w:rPr>
          <w:b/>
        </w:rPr>
        <w:t>when performing propagation delay compensation</w:t>
      </w:r>
    </w:p>
    <w:p w14:paraId="29AC544B" w14:textId="77777777" w:rsidR="004D14A1" w:rsidRPr="00B73B3C" w:rsidRDefault="004D14A1" w:rsidP="004D14A1">
      <w:pPr>
        <w:rPr>
          <w:b/>
        </w:rPr>
      </w:pPr>
      <w:r w:rsidRPr="00B73B3C">
        <w:rPr>
          <w:b/>
        </w:rPr>
        <w:t>Proposal 4:</w:t>
      </w:r>
      <w:r>
        <w:rPr>
          <w:b/>
        </w:rPr>
        <w:t xml:space="preserve"> UE should only apply propagation delay compensation for reference time information when instructed by the </w:t>
      </w:r>
      <w:r w:rsidRPr="00B73B3C">
        <w:rPr>
          <w:b/>
        </w:rPr>
        <w:t xml:space="preserve">gNB </w:t>
      </w:r>
      <w:r>
        <w:rPr>
          <w:b/>
        </w:rPr>
        <w:t>with explicit signalling</w:t>
      </w:r>
      <w:r w:rsidRPr="00B73B3C">
        <w:rPr>
          <w:b/>
        </w:rPr>
        <w:t>.</w:t>
      </w:r>
    </w:p>
    <w:p w14:paraId="532A9C48" w14:textId="77777777" w:rsidR="004D14A1" w:rsidRDefault="004D14A1" w:rsidP="004D14A1">
      <w:r>
        <w:rPr>
          <w:b/>
        </w:rPr>
        <w:t xml:space="preserve">Proposal 5: </w:t>
      </w:r>
      <w:r w:rsidRPr="00BF4936">
        <w:rPr>
          <w:b/>
        </w:rPr>
        <w:t>UEs in Inactive and Idle modes</w:t>
      </w:r>
      <w:r>
        <w:rPr>
          <w:b/>
        </w:rPr>
        <w:t xml:space="preserve"> may use OSI to request SIB9. Additional mechanism may be needed for UEs in RRC Connected mode to request reference time information delivery from the network.</w:t>
      </w:r>
    </w:p>
    <w:p w14:paraId="24BA6A99" w14:textId="5427AE53" w:rsidR="004D14A1" w:rsidRPr="00BF4936" w:rsidRDefault="004D14A1" w:rsidP="004D14A1">
      <w:pPr>
        <w:rPr>
          <w:b/>
        </w:rPr>
      </w:pPr>
      <w:r>
        <w:rPr>
          <w:b/>
        </w:rPr>
        <w:t>Proposal 6</w:t>
      </w:r>
      <w:r w:rsidRPr="00BF4936">
        <w:rPr>
          <w:b/>
        </w:rPr>
        <w:t xml:space="preserve">: </w:t>
      </w:r>
      <w:r>
        <w:rPr>
          <w:b/>
        </w:rPr>
        <w:t xml:space="preserve">There should </w:t>
      </w:r>
      <w:r w:rsidR="00731D48">
        <w:rPr>
          <w:b/>
        </w:rPr>
        <w:t xml:space="preserve">be a </w:t>
      </w:r>
      <w:bookmarkStart w:id="1" w:name="_GoBack"/>
      <w:bookmarkEnd w:id="1"/>
      <w:r>
        <w:rPr>
          <w:b/>
        </w:rPr>
        <w:t>mechanism</w:t>
      </w:r>
      <w:r w:rsidRPr="00BF4936">
        <w:rPr>
          <w:b/>
        </w:rPr>
        <w:t xml:space="preserve"> </w:t>
      </w:r>
      <w:r>
        <w:rPr>
          <w:b/>
        </w:rPr>
        <w:t xml:space="preserve">for UE to </w:t>
      </w:r>
      <w:r w:rsidRPr="00BF4936">
        <w:rPr>
          <w:b/>
        </w:rPr>
        <w:t xml:space="preserve">explicitly request the reference time </w:t>
      </w:r>
      <w:r>
        <w:rPr>
          <w:b/>
        </w:rPr>
        <w:t>delivery</w:t>
      </w:r>
      <w:r w:rsidRPr="00BF4936">
        <w:rPr>
          <w:b/>
        </w:rPr>
        <w:t xml:space="preserve"> from </w:t>
      </w:r>
      <w:r>
        <w:rPr>
          <w:b/>
        </w:rPr>
        <w:t>5GS</w:t>
      </w:r>
      <w:r w:rsidRPr="00BF4936">
        <w:rPr>
          <w:b/>
        </w:rPr>
        <w:t xml:space="preserve">. </w:t>
      </w:r>
    </w:p>
    <w:p w14:paraId="2F61AF0A" w14:textId="77777777" w:rsidR="00535452" w:rsidRPr="006C04F0" w:rsidRDefault="00535452" w:rsidP="00BE0C24"/>
    <w:p w14:paraId="5FF2457F" w14:textId="0CC7EB30" w:rsidR="00A209D6" w:rsidRPr="00D60162" w:rsidRDefault="003D6243" w:rsidP="00D60162">
      <w:pPr>
        <w:pStyle w:val="Heading1"/>
      </w:pPr>
      <w:r>
        <w:t>References</w:t>
      </w:r>
    </w:p>
    <w:p w14:paraId="4717A48F" w14:textId="3E6C7191" w:rsidR="00856BA4" w:rsidRDefault="00855E5B" w:rsidP="00855E5B">
      <w:pPr>
        <w:pStyle w:val="ListParagraph"/>
        <w:numPr>
          <w:ilvl w:val="0"/>
          <w:numId w:val="11"/>
        </w:numPr>
      </w:pPr>
      <w:r w:rsidRPr="00855E5B">
        <w:t>R2-1909364</w:t>
      </w:r>
      <w:r>
        <w:t xml:space="preserve">, </w:t>
      </w:r>
      <w:r w:rsidRPr="00855E5B">
        <w:rPr>
          <w:i/>
        </w:rPr>
        <w:t>RRC running CR on TSC reference time distribution (agreed as baseline with the modification as mentioned in section 2.2.1)</w:t>
      </w:r>
      <w:r>
        <w:t>, Ericsson</w:t>
      </w:r>
    </w:p>
    <w:p w14:paraId="49F201CF" w14:textId="60047AF2" w:rsidR="008E2324" w:rsidRDefault="004635F3" w:rsidP="00855E5B">
      <w:pPr>
        <w:pStyle w:val="ListParagraph"/>
        <w:numPr>
          <w:ilvl w:val="0"/>
          <w:numId w:val="11"/>
        </w:numPr>
      </w:pPr>
      <w:r w:rsidRPr="004635F3">
        <w:t>R2-1909365</w:t>
      </w:r>
      <w:r>
        <w:t xml:space="preserve">, </w:t>
      </w:r>
      <w:r w:rsidRPr="004635F3">
        <w:rPr>
          <w:i/>
        </w:rPr>
        <w:t>Remaining issues for reference time delivery</w:t>
      </w:r>
      <w:r>
        <w:t xml:space="preserve">, </w:t>
      </w:r>
      <w:r w:rsidRPr="004635F3">
        <w:t>Ericsson</w:t>
      </w:r>
    </w:p>
    <w:p w14:paraId="73B5F5E0" w14:textId="20D52BC2" w:rsidR="008E2324" w:rsidRDefault="004635F3" w:rsidP="00855E5B">
      <w:pPr>
        <w:pStyle w:val="ListParagraph"/>
        <w:numPr>
          <w:ilvl w:val="0"/>
          <w:numId w:val="11"/>
        </w:numPr>
      </w:pPr>
      <w:r w:rsidRPr="004635F3">
        <w:t>R2-1910817</w:t>
      </w:r>
      <w:r>
        <w:t xml:space="preserve">, </w:t>
      </w:r>
      <w:r w:rsidRPr="004635F3">
        <w:rPr>
          <w:i/>
        </w:rPr>
        <w:t>Uncertainty parameter in reference time information</w:t>
      </w:r>
      <w:r>
        <w:t xml:space="preserve">, </w:t>
      </w:r>
      <w:r w:rsidRPr="004635F3">
        <w:t>Huawei, HiSilicon</w:t>
      </w:r>
    </w:p>
    <w:p w14:paraId="7E1DABC4" w14:textId="07C9C08A" w:rsidR="00760DBE" w:rsidRPr="00760DBE" w:rsidRDefault="00760DBE" w:rsidP="00855E5B">
      <w:pPr>
        <w:pStyle w:val="ListParagraph"/>
        <w:numPr>
          <w:ilvl w:val="0"/>
          <w:numId w:val="11"/>
        </w:numPr>
        <w:rPr>
          <w:i/>
        </w:rPr>
      </w:pPr>
      <w:r w:rsidRPr="00760DBE">
        <w:t>R2-1908160</w:t>
      </w:r>
      <w:r>
        <w:t xml:space="preserve">, </w:t>
      </w:r>
      <w:r w:rsidRPr="00760DBE">
        <w:rPr>
          <w:i/>
        </w:rPr>
        <w:t>LS to RAN1 on propagation delay compensation for reference time information delivery</w:t>
      </w:r>
      <w:r>
        <w:t>, Source: RAN2</w:t>
      </w:r>
    </w:p>
    <w:p w14:paraId="17F3B3AC" w14:textId="071D0CC4" w:rsidR="00C80D1C" w:rsidRDefault="00D336B6" w:rsidP="00855E5B">
      <w:pPr>
        <w:pStyle w:val="ListParagraph"/>
        <w:numPr>
          <w:ilvl w:val="0"/>
          <w:numId w:val="11"/>
        </w:numPr>
      </w:pPr>
      <w:r w:rsidRPr="00D336B6">
        <w:lastRenderedPageBreak/>
        <w:t>R1-1909906</w:t>
      </w:r>
      <w:r>
        <w:t xml:space="preserve">, </w:t>
      </w:r>
      <w:r w:rsidR="00B875B9" w:rsidRPr="00B875B9">
        <w:rPr>
          <w:i/>
        </w:rPr>
        <w:t>Reply LS on propagation delay compensation for reference time information delivery</w:t>
      </w:r>
      <w:r w:rsidR="00B875B9">
        <w:t>, Source: RAN1</w:t>
      </w:r>
    </w:p>
    <w:p w14:paraId="007F65FE" w14:textId="66AEFB85" w:rsidR="00B73B3C" w:rsidRDefault="00B73B3C" w:rsidP="00855E5B">
      <w:pPr>
        <w:pStyle w:val="ListParagraph"/>
        <w:numPr>
          <w:ilvl w:val="0"/>
          <w:numId w:val="11"/>
        </w:numPr>
      </w:pPr>
      <w:r w:rsidRPr="00B73B3C">
        <w:t>R1-1911693,</w:t>
      </w:r>
      <w:r>
        <w:t xml:space="preserve"> </w:t>
      </w:r>
      <w:r w:rsidRPr="00B875B9">
        <w:rPr>
          <w:i/>
        </w:rPr>
        <w:t>Reply LS on propagation delay compensation for reference time information delivery</w:t>
      </w:r>
      <w:r>
        <w:t>, Source: RAN1</w:t>
      </w:r>
    </w:p>
    <w:p w14:paraId="307072F6" w14:textId="286BC387" w:rsidR="00C80D1C" w:rsidRDefault="00595F42" w:rsidP="0007541C">
      <w:pPr>
        <w:pStyle w:val="ListParagraph"/>
        <w:numPr>
          <w:ilvl w:val="0"/>
          <w:numId w:val="11"/>
        </w:numPr>
      </w:pPr>
      <w:r>
        <w:t xml:space="preserve">R2-19142213, </w:t>
      </w:r>
      <w:r w:rsidRPr="00595F42">
        <w:rPr>
          <w:i/>
        </w:rPr>
        <w:t>LS to SA2 on reference time delivery, Source: RAN2</w:t>
      </w:r>
    </w:p>
    <w:sectPr w:rsidR="00C80D1C" w:rsidSect="008645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30156" w14:textId="77777777" w:rsidR="00502B09" w:rsidRDefault="00502B09">
      <w:r>
        <w:separator/>
      </w:r>
    </w:p>
  </w:endnote>
  <w:endnote w:type="continuationSeparator" w:id="0">
    <w:p w14:paraId="20C86FAE" w14:textId="77777777" w:rsidR="00502B09" w:rsidRDefault="00502B09">
      <w:r>
        <w:continuationSeparator/>
      </w:r>
    </w:p>
  </w:endnote>
  <w:endnote w:type="continuationNotice" w:id="1">
    <w:p w14:paraId="45154287" w14:textId="77777777" w:rsidR="00502B09" w:rsidRDefault="00502B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B81D4" w14:textId="77777777" w:rsidR="00502B09" w:rsidRDefault="00502B09">
      <w:r>
        <w:separator/>
      </w:r>
    </w:p>
  </w:footnote>
  <w:footnote w:type="continuationSeparator" w:id="0">
    <w:p w14:paraId="2E8B746E" w14:textId="77777777" w:rsidR="00502B09" w:rsidRDefault="00502B09">
      <w:r>
        <w:continuationSeparator/>
      </w:r>
    </w:p>
  </w:footnote>
  <w:footnote w:type="continuationNotice" w:id="1">
    <w:p w14:paraId="5A826B6E" w14:textId="77777777" w:rsidR="00502B09" w:rsidRDefault="00502B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5"/>
  </w:num>
  <w:num w:numId="7">
    <w:abstractNumId w:val="16"/>
  </w:num>
  <w:num w:numId="8">
    <w:abstractNumId w:val="4"/>
  </w:num>
  <w:num w:numId="9">
    <w:abstractNumId w:val="25"/>
  </w:num>
  <w:num w:numId="10">
    <w:abstractNumId w:val="7"/>
  </w:num>
  <w:num w:numId="11">
    <w:abstractNumId w:val="20"/>
  </w:num>
  <w:num w:numId="12">
    <w:abstractNumId w:val="5"/>
  </w:num>
  <w:num w:numId="13">
    <w:abstractNumId w:val="8"/>
  </w:num>
  <w:num w:numId="14">
    <w:abstractNumId w:val="21"/>
  </w:num>
  <w:num w:numId="15">
    <w:abstractNumId w:val="24"/>
  </w:num>
  <w:num w:numId="16">
    <w:abstractNumId w:val="24"/>
  </w:num>
  <w:num w:numId="17">
    <w:abstractNumId w:val="12"/>
  </w:num>
  <w:num w:numId="18">
    <w:abstractNumId w:val="23"/>
  </w:num>
  <w:num w:numId="19">
    <w:abstractNumId w:val="6"/>
  </w:num>
  <w:num w:numId="20">
    <w:abstractNumId w:val="19"/>
  </w:num>
  <w:num w:numId="21">
    <w:abstractNumId w:val="22"/>
  </w:num>
  <w:num w:numId="22">
    <w:abstractNumId w:val="10"/>
  </w:num>
  <w:num w:numId="23">
    <w:abstractNumId w:val="3"/>
  </w:num>
  <w:num w:numId="24">
    <w:abstractNumId w:val="14"/>
  </w:num>
  <w:num w:numId="25">
    <w:abstractNumId w:val="18"/>
  </w:num>
  <w:num w:numId="26">
    <w:abstractNumId w:val="13"/>
  </w:num>
  <w:num w:numId="27">
    <w:abstractNumId w:val="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59F9"/>
    <w:rsid w:val="00033397"/>
    <w:rsid w:val="00040095"/>
    <w:rsid w:val="00054B71"/>
    <w:rsid w:val="00073C9C"/>
    <w:rsid w:val="0007541C"/>
    <w:rsid w:val="00080512"/>
    <w:rsid w:val="00090468"/>
    <w:rsid w:val="00094568"/>
    <w:rsid w:val="000A0E6B"/>
    <w:rsid w:val="000B7BCF"/>
    <w:rsid w:val="000C522B"/>
    <w:rsid w:val="000C6A5E"/>
    <w:rsid w:val="000D58AB"/>
    <w:rsid w:val="000E2527"/>
    <w:rsid w:val="000E4BEC"/>
    <w:rsid w:val="00112F1A"/>
    <w:rsid w:val="001271D4"/>
    <w:rsid w:val="00141E89"/>
    <w:rsid w:val="00145075"/>
    <w:rsid w:val="00147E7C"/>
    <w:rsid w:val="001664A5"/>
    <w:rsid w:val="001741A0"/>
    <w:rsid w:val="00175FA0"/>
    <w:rsid w:val="00194CD0"/>
    <w:rsid w:val="001A5D01"/>
    <w:rsid w:val="001B49C9"/>
    <w:rsid w:val="001B666E"/>
    <w:rsid w:val="001B6F52"/>
    <w:rsid w:val="001C4F79"/>
    <w:rsid w:val="001D314A"/>
    <w:rsid w:val="001D5EF4"/>
    <w:rsid w:val="001D7547"/>
    <w:rsid w:val="001F0BAA"/>
    <w:rsid w:val="001F168B"/>
    <w:rsid w:val="001F49DF"/>
    <w:rsid w:val="001F7831"/>
    <w:rsid w:val="001F789B"/>
    <w:rsid w:val="00202DFC"/>
    <w:rsid w:val="00204045"/>
    <w:rsid w:val="0020712B"/>
    <w:rsid w:val="0022606D"/>
    <w:rsid w:val="00231728"/>
    <w:rsid w:val="00243C57"/>
    <w:rsid w:val="002610D8"/>
    <w:rsid w:val="00261D74"/>
    <w:rsid w:val="0026230A"/>
    <w:rsid w:val="00264EDC"/>
    <w:rsid w:val="0027003B"/>
    <w:rsid w:val="00273BC0"/>
    <w:rsid w:val="002747EC"/>
    <w:rsid w:val="00275179"/>
    <w:rsid w:val="002855BF"/>
    <w:rsid w:val="002921B4"/>
    <w:rsid w:val="00295BA8"/>
    <w:rsid w:val="002964CB"/>
    <w:rsid w:val="00297021"/>
    <w:rsid w:val="002B019D"/>
    <w:rsid w:val="002B07F0"/>
    <w:rsid w:val="002B7C6C"/>
    <w:rsid w:val="002C2A63"/>
    <w:rsid w:val="002C490E"/>
    <w:rsid w:val="002F0D22"/>
    <w:rsid w:val="002F46E6"/>
    <w:rsid w:val="003172DC"/>
    <w:rsid w:val="00325AE3"/>
    <w:rsid w:val="00326069"/>
    <w:rsid w:val="00331A10"/>
    <w:rsid w:val="003341C8"/>
    <w:rsid w:val="0035462D"/>
    <w:rsid w:val="00364B41"/>
    <w:rsid w:val="00383096"/>
    <w:rsid w:val="003A41EF"/>
    <w:rsid w:val="003B40AD"/>
    <w:rsid w:val="003B6EC5"/>
    <w:rsid w:val="003C4E37"/>
    <w:rsid w:val="003C5586"/>
    <w:rsid w:val="003D6243"/>
    <w:rsid w:val="003E16BE"/>
    <w:rsid w:val="003F4E28"/>
    <w:rsid w:val="004006E8"/>
    <w:rsid w:val="00401855"/>
    <w:rsid w:val="00451CFE"/>
    <w:rsid w:val="004635F3"/>
    <w:rsid w:val="00465587"/>
    <w:rsid w:val="004773B3"/>
    <w:rsid w:val="00477455"/>
    <w:rsid w:val="004A1A66"/>
    <w:rsid w:val="004A1F7B"/>
    <w:rsid w:val="004A26B8"/>
    <w:rsid w:val="004B5CE9"/>
    <w:rsid w:val="004C44D2"/>
    <w:rsid w:val="004D14A1"/>
    <w:rsid w:val="004D3578"/>
    <w:rsid w:val="004D380D"/>
    <w:rsid w:val="004D3FE5"/>
    <w:rsid w:val="004E213A"/>
    <w:rsid w:val="00502B09"/>
    <w:rsid w:val="00503171"/>
    <w:rsid w:val="00506C28"/>
    <w:rsid w:val="00517359"/>
    <w:rsid w:val="00521891"/>
    <w:rsid w:val="0053037B"/>
    <w:rsid w:val="00534DA0"/>
    <w:rsid w:val="00535452"/>
    <w:rsid w:val="00543E6C"/>
    <w:rsid w:val="00544378"/>
    <w:rsid w:val="00565087"/>
    <w:rsid w:val="0056573F"/>
    <w:rsid w:val="00566EC4"/>
    <w:rsid w:val="0057123D"/>
    <w:rsid w:val="0058151E"/>
    <w:rsid w:val="00582925"/>
    <w:rsid w:val="00595F42"/>
    <w:rsid w:val="005D04B5"/>
    <w:rsid w:val="005D4723"/>
    <w:rsid w:val="00607329"/>
    <w:rsid w:val="00611566"/>
    <w:rsid w:val="00623256"/>
    <w:rsid w:val="00642DBC"/>
    <w:rsid w:val="00646D99"/>
    <w:rsid w:val="00656910"/>
    <w:rsid w:val="006637BC"/>
    <w:rsid w:val="006802B7"/>
    <w:rsid w:val="006807E2"/>
    <w:rsid w:val="006A2760"/>
    <w:rsid w:val="006C04F0"/>
    <w:rsid w:val="006C66D8"/>
    <w:rsid w:val="006D1E24"/>
    <w:rsid w:val="006D579E"/>
    <w:rsid w:val="006E1417"/>
    <w:rsid w:val="006F6A2C"/>
    <w:rsid w:val="00710201"/>
    <w:rsid w:val="0072073A"/>
    <w:rsid w:val="00722A06"/>
    <w:rsid w:val="00731D48"/>
    <w:rsid w:val="007342B5"/>
    <w:rsid w:val="00734A5B"/>
    <w:rsid w:val="00736AC5"/>
    <w:rsid w:val="00744E76"/>
    <w:rsid w:val="00757D40"/>
    <w:rsid w:val="00760DBE"/>
    <w:rsid w:val="00781F0F"/>
    <w:rsid w:val="00783A66"/>
    <w:rsid w:val="0078727C"/>
    <w:rsid w:val="0079049D"/>
    <w:rsid w:val="00793DC5"/>
    <w:rsid w:val="007B17F9"/>
    <w:rsid w:val="007B18D8"/>
    <w:rsid w:val="007C095F"/>
    <w:rsid w:val="007C2DD0"/>
    <w:rsid w:val="007C5973"/>
    <w:rsid w:val="007E3B4E"/>
    <w:rsid w:val="007E5A16"/>
    <w:rsid w:val="007F35F3"/>
    <w:rsid w:val="00801B36"/>
    <w:rsid w:val="008028A4"/>
    <w:rsid w:val="00813245"/>
    <w:rsid w:val="00820DD4"/>
    <w:rsid w:val="008339B2"/>
    <w:rsid w:val="00840875"/>
    <w:rsid w:val="00842061"/>
    <w:rsid w:val="008500DD"/>
    <w:rsid w:val="00850467"/>
    <w:rsid w:val="00855E5B"/>
    <w:rsid w:val="00856BA4"/>
    <w:rsid w:val="0086455E"/>
    <w:rsid w:val="00873E98"/>
    <w:rsid w:val="008768CA"/>
    <w:rsid w:val="00877EF9"/>
    <w:rsid w:val="00880559"/>
    <w:rsid w:val="008835C9"/>
    <w:rsid w:val="0089319C"/>
    <w:rsid w:val="008A389B"/>
    <w:rsid w:val="008B5306"/>
    <w:rsid w:val="008C70B1"/>
    <w:rsid w:val="008D2E4D"/>
    <w:rsid w:val="008E2324"/>
    <w:rsid w:val="008F396F"/>
    <w:rsid w:val="0090271F"/>
    <w:rsid w:val="00902DB9"/>
    <w:rsid w:val="00903F37"/>
    <w:rsid w:val="0090466A"/>
    <w:rsid w:val="00923090"/>
    <w:rsid w:val="00926C52"/>
    <w:rsid w:val="00936071"/>
    <w:rsid w:val="00940212"/>
    <w:rsid w:val="00942EC2"/>
    <w:rsid w:val="009461BA"/>
    <w:rsid w:val="009544B7"/>
    <w:rsid w:val="00961B32"/>
    <w:rsid w:val="00961B8F"/>
    <w:rsid w:val="00962509"/>
    <w:rsid w:val="00970DB3"/>
    <w:rsid w:val="00972E7A"/>
    <w:rsid w:val="00973CAF"/>
    <w:rsid w:val="00974BB0"/>
    <w:rsid w:val="009937C2"/>
    <w:rsid w:val="009A0AF3"/>
    <w:rsid w:val="009B07CD"/>
    <w:rsid w:val="009C19E9"/>
    <w:rsid w:val="009D74A6"/>
    <w:rsid w:val="00A00CB1"/>
    <w:rsid w:val="00A05ECC"/>
    <w:rsid w:val="00A10F02"/>
    <w:rsid w:val="00A204CA"/>
    <w:rsid w:val="00A209D6"/>
    <w:rsid w:val="00A37E91"/>
    <w:rsid w:val="00A44CAB"/>
    <w:rsid w:val="00A50CAF"/>
    <w:rsid w:val="00A53724"/>
    <w:rsid w:val="00A54B2B"/>
    <w:rsid w:val="00A76498"/>
    <w:rsid w:val="00A82346"/>
    <w:rsid w:val="00A9671C"/>
    <w:rsid w:val="00AA146C"/>
    <w:rsid w:val="00AA1553"/>
    <w:rsid w:val="00AC13AF"/>
    <w:rsid w:val="00AC5161"/>
    <w:rsid w:val="00AD4107"/>
    <w:rsid w:val="00AE54A9"/>
    <w:rsid w:val="00AF5D35"/>
    <w:rsid w:val="00AF77C8"/>
    <w:rsid w:val="00B018C5"/>
    <w:rsid w:val="00B02F5C"/>
    <w:rsid w:val="00B05380"/>
    <w:rsid w:val="00B05962"/>
    <w:rsid w:val="00B15449"/>
    <w:rsid w:val="00B16C2F"/>
    <w:rsid w:val="00B17F45"/>
    <w:rsid w:val="00B27303"/>
    <w:rsid w:val="00B342E7"/>
    <w:rsid w:val="00B354A6"/>
    <w:rsid w:val="00B40A05"/>
    <w:rsid w:val="00B4450D"/>
    <w:rsid w:val="00B44776"/>
    <w:rsid w:val="00B47FD1"/>
    <w:rsid w:val="00B516BB"/>
    <w:rsid w:val="00B60B8B"/>
    <w:rsid w:val="00B66A77"/>
    <w:rsid w:val="00B7101D"/>
    <w:rsid w:val="00B73B3C"/>
    <w:rsid w:val="00B84DB2"/>
    <w:rsid w:val="00B85077"/>
    <w:rsid w:val="00B875B9"/>
    <w:rsid w:val="00BA1391"/>
    <w:rsid w:val="00BA420C"/>
    <w:rsid w:val="00BA56BE"/>
    <w:rsid w:val="00BC17A5"/>
    <w:rsid w:val="00BC3555"/>
    <w:rsid w:val="00BE0C24"/>
    <w:rsid w:val="00BF4936"/>
    <w:rsid w:val="00C12B51"/>
    <w:rsid w:val="00C20267"/>
    <w:rsid w:val="00C24650"/>
    <w:rsid w:val="00C25465"/>
    <w:rsid w:val="00C33079"/>
    <w:rsid w:val="00C56182"/>
    <w:rsid w:val="00C63602"/>
    <w:rsid w:val="00C776B0"/>
    <w:rsid w:val="00C80D1C"/>
    <w:rsid w:val="00C82634"/>
    <w:rsid w:val="00C83A13"/>
    <w:rsid w:val="00C9068C"/>
    <w:rsid w:val="00C92967"/>
    <w:rsid w:val="00C95794"/>
    <w:rsid w:val="00CA3D0C"/>
    <w:rsid w:val="00CA541E"/>
    <w:rsid w:val="00CA654B"/>
    <w:rsid w:val="00CA72D7"/>
    <w:rsid w:val="00CB72B8"/>
    <w:rsid w:val="00CD4C7B"/>
    <w:rsid w:val="00CF3302"/>
    <w:rsid w:val="00D05157"/>
    <w:rsid w:val="00D21809"/>
    <w:rsid w:val="00D2634B"/>
    <w:rsid w:val="00D3363F"/>
    <w:rsid w:val="00D336B6"/>
    <w:rsid w:val="00D33BE3"/>
    <w:rsid w:val="00D36A66"/>
    <w:rsid w:val="00D3792D"/>
    <w:rsid w:val="00D41BDA"/>
    <w:rsid w:val="00D463A7"/>
    <w:rsid w:val="00D55E47"/>
    <w:rsid w:val="00D60162"/>
    <w:rsid w:val="00D62E19"/>
    <w:rsid w:val="00D67CD1"/>
    <w:rsid w:val="00D738D6"/>
    <w:rsid w:val="00D80795"/>
    <w:rsid w:val="00D854BE"/>
    <w:rsid w:val="00D87E00"/>
    <w:rsid w:val="00D9134D"/>
    <w:rsid w:val="00D96D11"/>
    <w:rsid w:val="00DA7A03"/>
    <w:rsid w:val="00DB0DB8"/>
    <w:rsid w:val="00DB1818"/>
    <w:rsid w:val="00DB444B"/>
    <w:rsid w:val="00DC309B"/>
    <w:rsid w:val="00DC4DA2"/>
    <w:rsid w:val="00DD4E0B"/>
    <w:rsid w:val="00DF0FE5"/>
    <w:rsid w:val="00DF15BA"/>
    <w:rsid w:val="00DF7DDD"/>
    <w:rsid w:val="00E04CDB"/>
    <w:rsid w:val="00E0766C"/>
    <w:rsid w:val="00E13576"/>
    <w:rsid w:val="00E13792"/>
    <w:rsid w:val="00E46C08"/>
    <w:rsid w:val="00E471CF"/>
    <w:rsid w:val="00E51CE8"/>
    <w:rsid w:val="00E535C7"/>
    <w:rsid w:val="00E6205F"/>
    <w:rsid w:val="00E62835"/>
    <w:rsid w:val="00E67EBA"/>
    <w:rsid w:val="00E77645"/>
    <w:rsid w:val="00E83697"/>
    <w:rsid w:val="00EA66C9"/>
    <w:rsid w:val="00EC4A25"/>
    <w:rsid w:val="00ED4898"/>
    <w:rsid w:val="00F025A2"/>
    <w:rsid w:val="00F07388"/>
    <w:rsid w:val="00F2026E"/>
    <w:rsid w:val="00F2210A"/>
    <w:rsid w:val="00F37743"/>
    <w:rsid w:val="00F47F5B"/>
    <w:rsid w:val="00F54A3D"/>
    <w:rsid w:val="00F54CB0"/>
    <w:rsid w:val="00F653B8"/>
    <w:rsid w:val="00F67C59"/>
    <w:rsid w:val="00F71B89"/>
    <w:rsid w:val="00F7353C"/>
    <w:rsid w:val="00F76F8F"/>
    <w:rsid w:val="00F866A6"/>
    <w:rsid w:val="00F941DF"/>
    <w:rsid w:val="00F95036"/>
    <w:rsid w:val="00FA1266"/>
    <w:rsid w:val="00FB0023"/>
    <w:rsid w:val="00FB36FA"/>
    <w:rsid w:val="00FC1192"/>
    <w:rsid w:val="00FC77AE"/>
    <w:rsid w:val="00FD4EA0"/>
    <w:rsid w:val="00FE251B"/>
    <w:rsid w:val="00FE5127"/>
    <w:rsid w:val="00FE66F9"/>
    <w:rsid w:val="604790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ACB965CA-1D44-49F5-804D-42EB39CA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rsid w:val="00202DFC"/>
    <w:rPr>
      <w:color w:val="FF0000"/>
      <w:lang w:eastAsia="en-US"/>
    </w:rPr>
  </w:style>
  <w:style w:type="character" w:customStyle="1" w:styleId="THChar">
    <w:name w:val="TH Char"/>
    <w:link w:val="TH"/>
    <w:rsid w:val="00202DFC"/>
    <w:rPr>
      <w:rFonts w:ascii="Arial" w:hAnsi="Arial"/>
      <w:b/>
      <w:lang w:eastAsia="en-US"/>
    </w:rPr>
  </w:style>
  <w:style w:type="paragraph" w:styleId="Caption">
    <w:name w:val="caption"/>
    <w:basedOn w:val="Normal"/>
    <w:next w:val="Normal"/>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rsid w:val="003341C8"/>
    <w:rPr>
      <w:sz w:val="16"/>
      <w:szCs w:val="16"/>
    </w:rPr>
  </w:style>
  <w:style w:type="paragraph" w:styleId="CommentText">
    <w:name w:val="annotation text"/>
    <w:basedOn w:val="Normal"/>
    <w:link w:val="CommentTextChar"/>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5AIRPNAIUNRU-859666464-5868</_dlc_DocId>
    <_dlc_DocIdUrl xmlns="71c5aaf6-e6ce-465b-b873-5148d2a4c105">
      <Url>https://nokia.sharepoint.com/sites/c5g/e2earch/_layouts/15/DocIdRedir.aspx?ID=5AIRPNAIUNRU-859666464-5868</Url>
      <Description>5AIRPNAIUNRU-859666464-5868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61795DC-E270-42CF-B1F2-7B58DC42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9438EB3-752F-4F5A-9540-94677A287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4</Pages>
  <Words>1641</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Koziol, Dawid (Nokia - PL/Wroclaw)</cp:lastModifiedBy>
  <cp:revision>18</cp:revision>
  <dcterms:created xsi:type="dcterms:W3CDTF">2019-11-06T13:42:00Z</dcterms:created>
  <dcterms:modified xsi:type="dcterms:W3CDTF">2019-11-08T07:37:00Z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2a1c02f5-af1f-4781-a208-a694e47e482d</vt:lpwstr>
  </property>
</Properties>
</file>